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Дополнительное соглашение № 5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 xml:space="preserve">обязательного медицинского страхования </w:t>
      </w:r>
      <w:r w:rsidRPr="007513F9">
        <w:rPr>
          <w:rFonts w:ascii="Times New Roman" w:hAnsi="Times New Roman"/>
          <w:b/>
          <w:sz w:val="28"/>
          <w:szCs w:val="28"/>
        </w:rPr>
        <w:br/>
        <w:t>Забайкальского края на 2024 год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г. Чита                                                                                          19 сентября 2024 года</w:t>
      </w:r>
    </w:p>
    <w:p w:rsidR="00F25E99" w:rsidRPr="007513F9" w:rsidRDefault="00F25E99" w:rsidP="00F25E99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F25E99" w:rsidRPr="007513F9" w:rsidRDefault="00F25E99" w:rsidP="00F25E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Мы, нижеподписавшиеся:</w:t>
      </w:r>
    </w:p>
    <w:p w:rsidR="00F25E99" w:rsidRPr="007513F9" w:rsidRDefault="00F25E99" w:rsidP="00F25E99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ab/>
      </w:r>
      <w:r w:rsidRPr="007513F9">
        <w:rPr>
          <w:rFonts w:ascii="Times New Roman" w:hAnsi="Times New Roman"/>
          <w:sz w:val="28"/>
          <w:szCs w:val="28"/>
        </w:rPr>
        <w:tab/>
        <w:t xml:space="preserve">Ванчикова </w:t>
      </w:r>
      <w:proofErr w:type="spellStart"/>
      <w:r w:rsidRPr="007513F9">
        <w:rPr>
          <w:rFonts w:ascii="Times New Roman" w:hAnsi="Times New Roman"/>
          <w:sz w:val="28"/>
          <w:szCs w:val="28"/>
        </w:rPr>
        <w:t>Аягма</w:t>
      </w:r>
      <w:proofErr w:type="spellEnd"/>
      <w:r w:rsidRPr="007513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13F9">
        <w:rPr>
          <w:rFonts w:ascii="Times New Roman" w:hAnsi="Times New Roman"/>
          <w:sz w:val="28"/>
          <w:szCs w:val="28"/>
        </w:rPr>
        <w:t>Гармаевна</w:t>
      </w:r>
      <w:proofErr w:type="spellEnd"/>
      <w:r w:rsidRPr="007513F9">
        <w:rPr>
          <w:rFonts w:ascii="Times New Roman" w:hAnsi="Times New Roman"/>
          <w:sz w:val="28"/>
          <w:szCs w:val="28"/>
        </w:rPr>
        <w:t xml:space="preserve"> – заместитель Губернатора Забайкальского края, председатель Комиссии;</w:t>
      </w:r>
    </w:p>
    <w:p w:rsidR="00F25E99" w:rsidRPr="007513F9" w:rsidRDefault="00F25E99" w:rsidP="00F25E9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Чабан Сергей Николаевич - директор территориального фонда обязательного медицинского страхования Забайкальского края;</w:t>
      </w:r>
    </w:p>
    <w:p w:rsidR="00F25E99" w:rsidRPr="007513F9" w:rsidRDefault="00F25E99" w:rsidP="00F25E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  <w:t>Петина Оксана Николаевна - заместитель председателя первичной организации профсоюза государственного учреждения здравоохранения «Клинический медицинский центр г. Читы»;</w:t>
      </w:r>
    </w:p>
    <w:p w:rsidR="00F25E99" w:rsidRPr="007513F9" w:rsidRDefault="00F25E99" w:rsidP="00F25E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  <w:t xml:space="preserve">Шаповалов Константин Геннадьевич - заместитель ректора ФГБОУ </w:t>
      </w:r>
      <w:proofErr w:type="gramStart"/>
      <w:r w:rsidRPr="007513F9">
        <w:rPr>
          <w:sz w:val="28"/>
          <w:szCs w:val="28"/>
        </w:rPr>
        <w:t>ВО</w:t>
      </w:r>
      <w:proofErr w:type="gramEnd"/>
      <w:r w:rsidRPr="007513F9">
        <w:rPr>
          <w:sz w:val="28"/>
          <w:szCs w:val="28"/>
        </w:rPr>
        <w:t xml:space="preserve"> «Читинская государственная медицинская академия» Минздрава России (проректор по дополнительному профессиональному образованию), вице-президент «Ассоциации анестезиологов-реаниматологов»;</w:t>
      </w:r>
    </w:p>
    <w:p w:rsidR="00F25E99" w:rsidRPr="007513F9" w:rsidRDefault="00F25E99" w:rsidP="00F25E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</w:r>
      <w:proofErr w:type="spellStart"/>
      <w:r w:rsidRPr="007513F9">
        <w:rPr>
          <w:sz w:val="28"/>
          <w:szCs w:val="28"/>
        </w:rPr>
        <w:t>Шелехова</w:t>
      </w:r>
      <w:proofErr w:type="spellEnd"/>
      <w:r w:rsidRPr="007513F9">
        <w:rPr>
          <w:sz w:val="28"/>
          <w:szCs w:val="28"/>
        </w:rPr>
        <w:t xml:space="preserve"> Наталья Владимировна – генеральный директор ГК «</w:t>
      </w:r>
      <w:proofErr w:type="spellStart"/>
      <w:r w:rsidRPr="007513F9">
        <w:rPr>
          <w:sz w:val="28"/>
          <w:szCs w:val="28"/>
        </w:rPr>
        <w:t>Забайкалмедстрах</w:t>
      </w:r>
      <w:proofErr w:type="spellEnd"/>
      <w:r w:rsidRPr="007513F9">
        <w:rPr>
          <w:sz w:val="28"/>
          <w:szCs w:val="28"/>
        </w:rPr>
        <w:t xml:space="preserve">», </w:t>
      </w:r>
    </w:p>
    <w:p w:rsidR="00F25E99" w:rsidRPr="007513F9" w:rsidRDefault="00F25E99" w:rsidP="00F25E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25E99" w:rsidRPr="007513F9" w:rsidRDefault="00F25E99" w:rsidP="00F25E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513F9">
        <w:rPr>
          <w:sz w:val="28"/>
          <w:szCs w:val="28"/>
        </w:rPr>
        <w:t>решили внести следующие изменения в Тарифное соглашение на медицинскую помощь в системе обязательного медицинского страхования Забайкальского края на 2024 год (далее - Тарифное соглашение):</w:t>
      </w:r>
    </w:p>
    <w:p w:rsidR="00F25E99" w:rsidRPr="007513F9" w:rsidRDefault="00F25E99" w:rsidP="00F25E99">
      <w:pPr>
        <w:pStyle w:val="a6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25E99" w:rsidRPr="007513F9" w:rsidRDefault="00F25E99" w:rsidP="00F25E99">
      <w:pPr>
        <w:pStyle w:val="a6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В Приложение № 2 к Тарифному соглашению:</w:t>
      </w:r>
    </w:p>
    <w:p w:rsidR="00F25E99" w:rsidRPr="007513F9" w:rsidRDefault="00F25E99" w:rsidP="00F25E99">
      <w:pPr>
        <w:pStyle w:val="a6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разделы 2.1. «Тарифы на оплату диспансеризации взрослого населения», 2.3. «Тарифы на оплату диспансеризации ветеранов боевых действий», 2.6. «Тарифы на оплату  профилактических медицинских осмотров определенных гру</w:t>
      </w:r>
      <w:proofErr w:type="gramStart"/>
      <w:r w:rsidRPr="007513F9">
        <w:rPr>
          <w:rFonts w:ascii="Times New Roman" w:hAnsi="Times New Roman"/>
          <w:sz w:val="28"/>
          <w:szCs w:val="28"/>
        </w:rPr>
        <w:t>пп взр</w:t>
      </w:r>
      <w:proofErr w:type="gramEnd"/>
      <w:r w:rsidRPr="007513F9">
        <w:rPr>
          <w:rFonts w:ascii="Times New Roman" w:hAnsi="Times New Roman"/>
          <w:sz w:val="28"/>
          <w:szCs w:val="28"/>
        </w:rPr>
        <w:t>ослого населения», 2.8. «Тарифы на оплату услуг мобильных медицинских бригад в рамках проведения 1 этапа диспансеризации взрослого населения», 2.10.1. «Тарифы на оплату услуг мобильных медицинских бригад в рамках проведения профилактического медицинского осмотра взрослого населения», 2.17.  «Тарифы на оплату  1 этапа диспансеризации взрослого населения, проводимой в выходной день -  суббота»,  2.18. «Тарифы на оплату профилактического медицинского осмотра взрослого населения, проводимого  в выходной день – суббота» изложить в новой редакции (прилагается);</w:t>
      </w:r>
    </w:p>
    <w:p w:rsidR="00F25E99" w:rsidRPr="007513F9" w:rsidRDefault="00F25E99" w:rsidP="00F25E99">
      <w:pPr>
        <w:pStyle w:val="a6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13F9">
        <w:rPr>
          <w:rFonts w:ascii="Times New Roman" w:hAnsi="Times New Roman"/>
          <w:sz w:val="28"/>
          <w:szCs w:val="28"/>
        </w:rPr>
        <w:t>строки с кодами услуг 611034 раздела 2.14. «Тарифы на оплату медицинской помощи, оказываемой в амбулаторных условиях, в том числе для оплаты медицинской помощи лицам, застрахованным за пределами Забайкальского края» и 629001, 629101 2.21. «Тариф на оплату комплексного посещения по поводу диспансерного наблюдения» заменить строками следующего содержания:</w:t>
      </w:r>
    </w:p>
    <w:p w:rsidR="00F25E99" w:rsidRPr="007513F9" w:rsidRDefault="00F25E99" w:rsidP="00F25E99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25E99" w:rsidRPr="007513F9" w:rsidRDefault="00F25E99" w:rsidP="00F25E99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25E99" w:rsidRPr="007513F9" w:rsidRDefault="00F25E99" w:rsidP="00F25E99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13F9">
        <w:rPr>
          <w:rFonts w:ascii="Times New Roman" w:hAnsi="Times New Roman"/>
          <w:sz w:val="24"/>
          <w:szCs w:val="24"/>
        </w:rPr>
        <w:t>«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754"/>
        <w:gridCol w:w="5010"/>
        <w:gridCol w:w="2025"/>
      </w:tblGrid>
      <w:tr w:rsidR="00F25E99" w:rsidRPr="007513F9" w:rsidTr="00374195">
        <w:tc>
          <w:tcPr>
            <w:tcW w:w="1134" w:type="dxa"/>
          </w:tcPr>
          <w:p w:rsidR="00F25E99" w:rsidRPr="007513F9" w:rsidRDefault="00F25E99" w:rsidP="00374195">
            <w:pPr>
              <w:jc w:val="center"/>
            </w:pPr>
            <w:r w:rsidRPr="007513F9">
              <w:lastRenderedPageBreak/>
              <w:t>Код услуги</w:t>
            </w:r>
          </w:p>
        </w:tc>
        <w:tc>
          <w:tcPr>
            <w:tcW w:w="1754" w:type="dxa"/>
          </w:tcPr>
          <w:p w:rsidR="00F25E99" w:rsidRPr="007513F9" w:rsidRDefault="00F25E99" w:rsidP="00374195">
            <w:pPr>
              <w:jc w:val="center"/>
            </w:pPr>
            <w:r w:rsidRPr="007513F9">
              <w:t>Код услуги по НМУ</w:t>
            </w:r>
          </w:p>
        </w:tc>
        <w:tc>
          <w:tcPr>
            <w:tcW w:w="5010" w:type="dxa"/>
          </w:tcPr>
          <w:p w:rsidR="00F25E99" w:rsidRPr="007513F9" w:rsidRDefault="00F25E99" w:rsidP="00374195">
            <w:pPr>
              <w:jc w:val="center"/>
            </w:pPr>
            <w:r w:rsidRPr="007513F9">
              <w:t>Наименование</w:t>
            </w:r>
          </w:p>
        </w:tc>
        <w:tc>
          <w:tcPr>
            <w:tcW w:w="2025" w:type="dxa"/>
          </w:tcPr>
          <w:p w:rsidR="00F25E99" w:rsidRPr="007513F9" w:rsidRDefault="00F25E99" w:rsidP="00374195">
            <w:pPr>
              <w:jc w:val="center"/>
            </w:pPr>
            <w:r w:rsidRPr="007513F9">
              <w:t>Стоимость услуги, руб.</w:t>
            </w:r>
          </w:p>
        </w:tc>
      </w:tr>
      <w:tr w:rsidR="00F25E99" w:rsidRPr="007513F9" w:rsidTr="00374195">
        <w:tc>
          <w:tcPr>
            <w:tcW w:w="1134" w:type="dxa"/>
            <w:vAlign w:val="center"/>
          </w:tcPr>
          <w:p w:rsidR="00F25E99" w:rsidRPr="007513F9" w:rsidRDefault="00F25E99" w:rsidP="00374195">
            <w:pPr>
              <w:jc w:val="center"/>
            </w:pPr>
            <w:r w:rsidRPr="007513F9">
              <w:rPr>
                <w:color w:val="000000"/>
              </w:rPr>
              <w:t>611034</w:t>
            </w:r>
          </w:p>
        </w:tc>
        <w:tc>
          <w:tcPr>
            <w:tcW w:w="1754" w:type="dxa"/>
            <w:vAlign w:val="center"/>
          </w:tcPr>
          <w:p w:rsidR="00F25E99" w:rsidRPr="007513F9" w:rsidRDefault="00F25E99" w:rsidP="00374195">
            <w:pPr>
              <w:jc w:val="center"/>
            </w:pPr>
            <w:r w:rsidRPr="007513F9">
              <w:rPr>
                <w:color w:val="000000"/>
              </w:rPr>
              <w:t>A26.06.041.002</w:t>
            </w:r>
          </w:p>
        </w:tc>
        <w:tc>
          <w:tcPr>
            <w:tcW w:w="5010" w:type="dxa"/>
            <w:vAlign w:val="center"/>
          </w:tcPr>
          <w:p w:rsidR="00F25E99" w:rsidRPr="007513F9" w:rsidRDefault="00F25E99" w:rsidP="00374195">
            <w:pPr>
              <w:jc w:val="center"/>
            </w:pPr>
            <w:r w:rsidRPr="007513F9">
              <w:t>Определение суммарных антител классов M и G (</w:t>
            </w:r>
            <w:proofErr w:type="spellStart"/>
            <w:r w:rsidRPr="007513F9">
              <w:t>anti</w:t>
            </w:r>
            <w:proofErr w:type="spellEnd"/>
            <w:r w:rsidRPr="007513F9">
              <w:t xml:space="preserve">-HCV </w:t>
            </w:r>
            <w:proofErr w:type="spellStart"/>
            <w:r w:rsidRPr="007513F9">
              <w:t>IgG</w:t>
            </w:r>
            <w:proofErr w:type="spellEnd"/>
            <w:r w:rsidRPr="007513F9">
              <w:t xml:space="preserve"> и </w:t>
            </w:r>
            <w:proofErr w:type="spellStart"/>
            <w:r w:rsidRPr="007513F9">
              <w:t>anti</w:t>
            </w:r>
            <w:proofErr w:type="spellEnd"/>
            <w:r w:rsidRPr="007513F9">
              <w:t xml:space="preserve">-HCV </w:t>
            </w:r>
            <w:proofErr w:type="spellStart"/>
            <w:r w:rsidRPr="007513F9">
              <w:t>IgM</w:t>
            </w:r>
            <w:proofErr w:type="spellEnd"/>
            <w:r w:rsidRPr="007513F9">
              <w:t>) к вирусу гепатита C (</w:t>
            </w:r>
            <w:proofErr w:type="spellStart"/>
            <w:r w:rsidRPr="007513F9">
              <w:t>Hepatitis</w:t>
            </w:r>
            <w:proofErr w:type="spellEnd"/>
            <w:r w:rsidRPr="007513F9">
              <w:t xml:space="preserve"> C </w:t>
            </w:r>
            <w:proofErr w:type="spellStart"/>
            <w:r w:rsidRPr="007513F9">
              <w:t>virus</w:t>
            </w:r>
            <w:proofErr w:type="spellEnd"/>
            <w:r w:rsidRPr="007513F9">
              <w:t>) в крови</w:t>
            </w:r>
          </w:p>
        </w:tc>
        <w:tc>
          <w:tcPr>
            <w:tcW w:w="2025" w:type="dxa"/>
            <w:vAlign w:val="center"/>
          </w:tcPr>
          <w:p w:rsidR="00F25E99" w:rsidRPr="007513F9" w:rsidRDefault="00F25E99" w:rsidP="00374195">
            <w:pPr>
              <w:jc w:val="center"/>
            </w:pPr>
            <w:r w:rsidRPr="007513F9">
              <w:t>476,0</w:t>
            </w:r>
          </w:p>
        </w:tc>
      </w:tr>
    </w:tbl>
    <w:p w:rsidR="00F25E99" w:rsidRPr="007513F9" w:rsidRDefault="00F25E99" w:rsidP="00F25E99">
      <w:pPr>
        <w:pStyle w:val="a6"/>
        <w:jc w:val="right"/>
        <w:rPr>
          <w:rFonts w:ascii="Times New Roman" w:hAnsi="Times New Roman"/>
          <w:sz w:val="24"/>
          <w:szCs w:val="24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149"/>
        <w:gridCol w:w="6804"/>
        <w:gridCol w:w="1985"/>
      </w:tblGrid>
      <w:tr w:rsidR="00F25E99" w:rsidRPr="007513F9" w:rsidTr="00374195">
        <w:trPr>
          <w:trHeight w:val="62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99" w:rsidRPr="007513F9" w:rsidRDefault="00F25E99" w:rsidP="00374195">
            <w:pPr>
              <w:jc w:val="center"/>
              <w:rPr>
                <w:b/>
                <w:bCs/>
                <w:color w:val="000000"/>
              </w:rPr>
            </w:pPr>
            <w:r w:rsidRPr="007513F9">
              <w:rPr>
                <w:b/>
                <w:bCs/>
                <w:color w:val="000000"/>
              </w:rPr>
              <w:t>Код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E99" w:rsidRPr="007513F9" w:rsidRDefault="00F25E99" w:rsidP="00374195">
            <w:pPr>
              <w:jc w:val="center"/>
              <w:rPr>
                <w:b/>
                <w:bCs/>
                <w:color w:val="000000"/>
              </w:rPr>
            </w:pPr>
            <w:r w:rsidRPr="007513F9"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99" w:rsidRPr="007513F9" w:rsidRDefault="00F25E99" w:rsidP="00374195">
            <w:pPr>
              <w:jc w:val="center"/>
              <w:rPr>
                <w:b/>
                <w:bCs/>
                <w:color w:val="000000"/>
              </w:rPr>
            </w:pPr>
            <w:r w:rsidRPr="007513F9">
              <w:rPr>
                <w:b/>
                <w:bCs/>
                <w:color w:val="000000"/>
              </w:rPr>
              <w:t>Стоимость комплексного посещения, руб.</w:t>
            </w:r>
          </w:p>
        </w:tc>
      </w:tr>
      <w:tr w:rsidR="00F25E99" w:rsidRPr="007513F9" w:rsidTr="00374195">
        <w:trPr>
          <w:trHeight w:val="5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99" w:rsidRPr="007513F9" w:rsidRDefault="00F25E99" w:rsidP="00374195">
            <w:pPr>
              <w:jc w:val="center"/>
              <w:rPr>
                <w:color w:val="000000"/>
              </w:rPr>
            </w:pPr>
            <w:r w:rsidRPr="007513F9">
              <w:rPr>
                <w:color w:val="000000"/>
              </w:rPr>
              <w:t>629001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99" w:rsidRPr="007513F9" w:rsidRDefault="00F25E99" w:rsidP="00374195">
            <w:pPr>
              <w:rPr>
                <w:color w:val="000000"/>
              </w:rPr>
            </w:pPr>
            <w:r w:rsidRPr="007513F9">
              <w:rPr>
                <w:color w:val="000000"/>
              </w:rPr>
              <w:t>Комплексное посещение по поводу диспансерного наблюдения врача-терапевта (за исключением болезней системы кровообращения и сахарного диабета)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99" w:rsidRPr="007513F9" w:rsidRDefault="00F25E99" w:rsidP="00374195">
            <w:pPr>
              <w:jc w:val="center"/>
              <w:rPr>
                <w:color w:val="000000"/>
              </w:rPr>
            </w:pPr>
            <w:r w:rsidRPr="007513F9">
              <w:rPr>
                <w:color w:val="000000"/>
              </w:rPr>
              <w:t>2 802,02</w:t>
            </w:r>
          </w:p>
        </w:tc>
      </w:tr>
      <w:tr w:rsidR="00F25E99" w:rsidRPr="007513F9" w:rsidTr="00374195">
        <w:trPr>
          <w:trHeight w:val="71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99" w:rsidRPr="007513F9" w:rsidRDefault="00F25E99" w:rsidP="00374195">
            <w:pPr>
              <w:jc w:val="center"/>
              <w:rPr>
                <w:color w:val="000000"/>
              </w:rPr>
            </w:pPr>
            <w:r w:rsidRPr="007513F9">
              <w:rPr>
                <w:color w:val="000000"/>
              </w:rPr>
              <w:t>629101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99" w:rsidRPr="007513F9" w:rsidRDefault="00F25E99" w:rsidP="00374195">
            <w:pPr>
              <w:rPr>
                <w:color w:val="000000"/>
              </w:rPr>
            </w:pPr>
            <w:r w:rsidRPr="007513F9">
              <w:rPr>
                <w:color w:val="000000"/>
              </w:rPr>
              <w:t>Комплексное посещение по поводу диспансерного наблюдения врача-терапевта (за исключением болезней системы кровообращения и сахарного диабета) работающих застрахованных лиц по месту работы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E99" w:rsidRPr="007513F9" w:rsidRDefault="00F25E99" w:rsidP="00374195">
            <w:pPr>
              <w:jc w:val="center"/>
              <w:rPr>
                <w:color w:val="000000"/>
              </w:rPr>
            </w:pPr>
            <w:r w:rsidRPr="007513F9">
              <w:rPr>
                <w:color w:val="000000"/>
              </w:rPr>
              <w:t>2 802,02</w:t>
            </w:r>
          </w:p>
        </w:tc>
      </w:tr>
    </w:tbl>
    <w:p w:rsidR="00F25E99" w:rsidRPr="007513F9" w:rsidRDefault="00F25E99" w:rsidP="00F25E99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7513F9">
        <w:rPr>
          <w:rFonts w:ascii="Times New Roman" w:hAnsi="Times New Roman"/>
          <w:sz w:val="24"/>
          <w:szCs w:val="24"/>
        </w:rPr>
        <w:t>».</w:t>
      </w:r>
    </w:p>
    <w:p w:rsidR="00F25E99" w:rsidRPr="007513F9" w:rsidRDefault="00F25E99" w:rsidP="00F25E99">
      <w:pPr>
        <w:jc w:val="both"/>
        <w:rPr>
          <w:sz w:val="28"/>
          <w:szCs w:val="28"/>
        </w:rPr>
      </w:pPr>
      <w:r w:rsidRPr="007513F9">
        <w:rPr>
          <w:sz w:val="28"/>
          <w:szCs w:val="28"/>
        </w:rPr>
        <w:tab/>
        <w:t>2. Настоящее соглашение вступает в силу с момента подписания и распространяется на правоотношения, возникшие с 1 сентября 2024 года.</w:t>
      </w:r>
    </w:p>
    <w:p w:rsidR="00F25E99" w:rsidRPr="007513F9" w:rsidRDefault="00F25E99" w:rsidP="00F25E99">
      <w:pPr>
        <w:jc w:val="both"/>
        <w:rPr>
          <w:sz w:val="28"/>
          <w:szCs w:val="28"/>
        </w:rPr>
      </w:pPr>
    </w:p>
    <w:p w:rsidR="00F25E99" w:rsidRPr="007513F9" w:rsidRDefault="00F25E99" w:rsidP="00F25E99">
      <w:pPr>
        <w:jc w:val="both"/>
        <w:rPr>
          <w:sz w:val="28"/>
          <w:szCs w:val="28"/>
        </w:rPr>
      </w:pPr>
    </w:p>
    <w:p w:rsidR="00F25E99" w:rsidRPr="007513F9" w:rsidRDefault="00F25E99" w:rsidP="00F25E99">
      <w:pPr>
        <w:jc w:val="both"/>
        <w:rPr>
          <w:sz w:val="28"/>
          <w:szCs w:val="28"/>
        </w:rPr>
      </w:pP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513F9">
        <w:rPr>
          <w:rFonts w:ascii="Times New Roman" w:hAnsi="Times New Roman"/>
          <w:b/>
          <w:sz w:val="28"/>
          <w:szCs w:val="28"/>
        </w:rPr>
        <w:t>ПОДПИСИ СТОРОН:</w:t>
      </w:r>
    </w:p>
    <w:p w:rsidR="00F25E99" w:rsidRPr="007513F9" w:rsidRDefault="00F25E99" w:rsidP="00F25E99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F25E99" w:rsidRPr="007513F9" w:rsidTr="00374195">
        <w:trPr>
          <w:trHeight w:val="330"/>
        </w:trPr>
        <w:tc>
          <w:tcPr>
            <w:tcW w:w="4765" w:type="dxa"/>
            <w:vMerge w:val="restart"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  <w:r w:rsidRPr="007513F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А.Г. Ванчикова</w:t>
            </w:r>
          </w:p>
        </w:tc>
      </w:tr>
      <w:tr w:rsidR="00F25E99" w:rsidRPr="007513F9" w:rsidTr="00374195">
        <w:trPr>
          <w:trHeight w:val="678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F25E99" w:rsidRPr="007513F9" w:rsidTr="00374195">
        <w:trPr>
          <w:trHeight w:val="54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F25E9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>О.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7513F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Петина</w:t>
            </w:r>
          </w:p>
        </w:tc>
      </w:tr>
      <w:tr w:rsidR="00F25E99" w:rsidRPr="007513F9" w:rsidTr="00374195">
        <w:trPr>
          <w:trHeight w:val="58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К.Г. Шаповалов</w:t>
            </w:r>
            <w:bookmarkStart w:id="0" w:name="_GoBack"/>
            <w:bookmarkEnd w:id="0"/>
          </w:p>
        </w:tc>
      </w:tr>
      <w:tr w:rsidR="00F25E99" w:rsidRPr="00F37F10" w:rsidTr="00374195">
        <w:trPr>
          <w:trHeight w:val="450"/>
        </w:trPr>
        <w:tc>
          <w:tcPr>
            <w:tcW w:w="4765" w:type="dxa"/>
            <w:vMerge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25E99" w:rsidRPr="007513F9" w:rsidRDefault="00F25E99" w:rsidP="0037419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F25E99" w:rsidRPr="007513F9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E99" w:rsidRPr="002A469A" w:rsidRDefault="00F25E99" w:rsidP="0037419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513F9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7513F9">
              <w:rPr>
                <w:rFonts w:ascii="Times New Roman" w:hAnsi="Times New Roman"/>
                <w:sz w:val="28"/>
                <w:szCs w:val="28"/>
              </w:rPr>
              <w:t>Шелехова</w:t>
            </w:r>
            <w:proofErr w:type="spellEnd"/>
          </w:p>
        </w:tc>
      </w:tr>
    </w:tbl>
    <w:p w:rsidR="00F25E99" w:rsidRPr="00F37F10" w:rsidRDefault="00F25E99" w:rsidP="00F25E99">
      <w:pPr>
        <w:ind w:left="142"/>
        <w:jc w:val="both"/>
        <w:rPr>
          <w:sz w:val="28"/>
        </w:rPr>
      </w:pPr>
    </w:p>
    <w:p w:rsidR="00B43853" w:rsidRPr="00F25E99" w:rsidRDefault="00B43853" w:rsidP="00F25E99"/>
    <w:sectPr w:rsidR="00B43853" w:rsidRPr="00F25E99" w:rsidSect="00C158C4">
      <w:type w:val="continuous"/>
      <w:pgSz w:w="11906" w:h="16838"/>
      <w:pgMar w:top="680" w:right="737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C86868"/>
    <w:multiLevelType w:val="multilevel"/>
    <w:tmpl w:val="2D02F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9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4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14"/>
  </w:num>
  <w:num w:numId="8">
    <w:abstractNumId w:val="13"/>
  </w:num>
  <w:num w:numId="9">
    <w:abstractNumId w:val="9"/>
  </w:num>
  <w:num w:numId="10">
    <w:abstractNumId w:val="12"/>
  </w:num>
  <w:num w:numId="11">
    <w:abstractNumId w:val="11"/>
  </w:num>
  <w:num w:numId="12">
    <w:abstractNumId w:val="7"/>
  </w:num>
  <w:num w:numId="13">
    <w:abstractNumId w:val="6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5922"/>
    <w:rsid w:val="0000689B"/>
    <w:rsid w:val="00016A3A"/>
    <w:rsid w:val="000212EC"/>
    <w:rsid w:val="00051F44"/>
    <w:rsid w:val="00052C5C"/>
    <w:rsid w:val="00061E54"/>
    <w:rsid w:val="00062522"/>
    <w:rsid w:val="00066A0A"/>
    <w:rsid w:val="00082F61"/>
    <w:rsid w:val="0008790A"/>
    <w:rsid w:val="00087CB1"/>
    <w:rsid w:val="000904D1"/>
    <w:rsid w:val="00090630"/>
    <w:rsid w:val="000A608D"/>
    <w:rsid w:val="000B1BA4"/>
    <w:rsid w:val="000C42DC"/>
    <w:rsid w:val="000F49AB"/>
    <w:rsid w:val="000F6817"/>
    <w:rsid w:val="00106546"/>
    <w:rsid w:val="001272E3"/>
    <w:rsid w:val="00134DB2"/>
    <w:rsid w:val="00167DA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4302"/>
    <w:rsid w:val="001F20B2"/>
    <w:rsid w:val="001F31AA"/>
    <w:rsid w:val="00205E74"/>
    <w:rsid w:val="00206CC1"/>
    <w:rsid w:val="00207523"/>
    <w:rsid w:val="00214F95"/>
    <w:rsid w:val="00222DB0"/>
    <w:rsid w:val="00225921"/>
    <w:rsid w:val="00247BAB"/>
    <w:rsid w:val="00264E75"/>
    <w:rsid w:val="00266223"/>
    <w:rsid w:val="0026703D"/>
    <w:rsid w:val="0027079C"/>
    <w:rsid w:val="002820D8"/>
    <w:rsid w:val="0029032A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33F74"/>
    <w:rsid w:val="00342F81"/>
    <w:rsid w:val="00345922"/>
    <w:rsid w:val="0035560A"/>
    <w:rsid w:val="00357D74"/>
    <w:rsid w:val="00363C72"/>
    <w:rsid w:val="003A5C1E"/>
    <w:rsid w:val="003A7C3E"/>
    <w:rsid w:val="003B305F"/>
    <w:rsid w:val="003C196C"/>
    <w:rsid w:val="003D31B3"/>
    <w:rsid w:val="003E29A5"/>
    <w:rsid w:val="00416FD0"/>
    <w:rsid w:val="00430FB8"/>
    <w:rsid w:val="00436FD6"/>
    <w:rsid w:val="004440B2"/>
    <w:rsid w:val="0044436D"/>
    <w:rsid w:val="004449CD"/>
    <w:rsid w:val="00445086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7D9B"/>
    <w:rsid w:val="0050033B"/>
    <w:rsid w:val="0051670D"/>
    <w:rsid w:val="00516B12"/>
    <w:rsid w:val="00526052"/>
    <w:rsid w:val="00526C4C"/>
    <w:rsid w:val="00527DE9"/>
    <w:rsid w:val="0054683A"/>
    <w:rsid w:val="00560AEE"/>
    <w:rsid w:val="0058044D"/>
    <w:rsid w:val="00582F66"/>
    <w:rsid w:val="005A08D1"/>
    <w:rsid w:val="005A0924"/>
    <w:rsid w:val="005A60C8"/>
    <w:rsid w:val="005B426B"/>
    <w:rsid w:val="005E643F"/>
    <w:rsid w:val="006000EF"/>
    <w:rsid w:val="0061132F"/>
    <w:rsid w:val="00627F7E"/>
    <w:rsid w:val="00632643"/>
    <w:rsid w:val="00640463"/>
    <w:rsid w:val="006563C1"/>
    <w:rsid w:val="00662FD9"/>
    <w:rsid w:val="0066514F"/>
    <w:rsid w:val="00665CD4"/>
    <w:rsid w:val="00670258"/>
    <w:rsid w:val="006712A9"/>
    <w:rsid w:val="0067697D"/>
    <w:rsid w:val="00680D4D"/>
    <w:rsid w:val="006937AC"/>
    <w:rsid w:val="006C114A"/>
    <w:rsid w:val="006C2A19"/>
    <w:rsid w:val="006C2E4F"/>
    <w:rsid w:val="006C5A1E"/>
    <w:rsid w:val="006D1194"/>
    <w:rsid w:val="006E20E6"/>
    <w:rsid w:val="007059FF"/>
    <w:rsid w:val="007072CC"/>
    <w:rsid w:val="0071114C"/>
    <w:rsid w:val="00711842"/>
    <w:rsid w:val="007118A0"/>
    <w:rsid w:val="007143DB"/>
    <w:rsid w:val="00715592"/>
    <w:rsid w:val="00715AC1"/>
    <w:rsid w:val="00716780"/>
    <w:rsid w:val="00716AA9"/>
    <w:rsid w:val="007311C6"/>
    <w:rsid w:val="007436B2"/>
    <w:rsid w:val="007507AF"/>
    <w:rsid w:val="00753924"/>
    <w:rsid w:val="00755A14"/>
    <w:rsid w:val="007665F2"/>
    <w:rsid w:val="007673D6"/>
    <w:rsid w:val="00774DCE"/>
    <w:rsid w:val="00782ABE"/>
    <w:rsid w:val="0079530C"/>
    <w:rsid w:val="007A7D92"/>
    <w:rsid w:val="007B207E"/>
    <w:rsid w:val="007B450C"/>
    <w:rsid w:val="007C2BAF"/>
    <w:rsid w:val="007D16CD"/>
    <w:rsid w:val="007D2360"/>
    <w:rsid w:val="007D6B09"/>
    <w:rsid w:val="007E73AD"/>
    <w:rsid w:val="007F3672"/>
    <w:rsid w:val="007F6A62"/>
    <w:rsid w:val="00800321"/>
    <w:rsid w:val="00807A9E"/>
    <w:rsid w:val="00812FC1"/>
    <w:rsid w:val="00813B2F"/>
    <w:rsid w:val="00816188"/>
    <w:rsid w:val="00826A42"/>
    <w:rsid w:val="00831536"/>
    <w:rsid w:val="00836AD5"/>
    <w:rsid w:val="00845AA6"/>
    <w:rsid w:val="00846AE6"/>
    <w:rsid w:val="008568B1"/>
    <w:rsid w:val="00861649"/>
    <w:rsid w:val="008635F5"/>
    <w:rsid w:val="00871423"/>
    <w:rsid w:val="00875FA4"/>
    <w:rsid w:val="008820BB"/>
    <w:rsid w:val="00885E67"/>
    <w:rsid w:val="00894EC4"/>
    <w:rsid w:val="00895A18"/>
    <w:rsid w:val="008B1B22"/>
    <w:rsid w:val="008B3776"/>
    <w:rsid w:val="008B5820"/>
    <w:rsid w:val="008C2E8B"/>
    <w:rsid w:val="008C66E4"/>
    <w:rsid w:val="008D2B43"/>
    <w:rsid w:val="008D35FE"/>
    <w:rsid w:val="008D3C2F"/>
    <w:rsid w:val="008F086F"/>
    <w:rsid w:val="008F181D"/>
    <w:rsid w:val="008F5B65"/>
    <w:rsid w:val="0091491C"/>
    <w:rsid w:val="00921FEC"/>
    <w:rsid w:val="009222DF"/>
    <w:rsid w:val="00932813"/>
    <w:rsid w:val="00953556"/>
    <w:rsid w:val="00974D49"/>
    <w:rsid w:val="009818E8"/>
    <w:rsid w:val="009A32F4"/>
    <w:rsid w:val="009A6164"/>
    <w:rsid w:val="009B3803"/>
    <w:rsid w:val="009C45E6"/>
    <w:rsid w:val="009D0894"/>
    <w:rsid w:val="009E0A2E"/>
    <w:rsid w:val="009E147D"/>
    <w:rsid w:val="009E5034"/>
    <w:rsid w:val="009E5643"/>
    <w:rsid w:val="009F1208"/>
    <w:rsid w:val="00A24154"/>
    <w:rsid w:val="00A248DC"/>
    <w:rsid w:val="00A4086D"/>
    <w:rsid w:val="00A45F03"/>
    <w:rsid w:val="00A50035"/>
    <w:rsid w:val="00A55EE5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138C4"/>
    <w:rsid w:val="00B21EE5"/>
    <w:rsid w:val="00B43853"/>
    <w:rsid w:val="00B72BF7"/>
    <w:rsid w:val="00BB5906"/>
    <w:rsid w:val="00BB706C"/>
    <w:rsid w:val="00BC24EC"/>
    <w:rsid w:val="00BD4AC1"/>
    <w:rsid w:val="00BE2A7F"/>
    <w:rsid w:val="00BE6E3D"/>
    <w:rsid w:val="00BF16DA"/>
    <w:rsid w:val="00BF4C82"/>
    <w:rsid w:val="00C0094C"/>
    <w:rsid w:val="00C049F9"/>
    <w:rsid w:val="00C158C4"/>
    <w:rsid w:val="00C24256"/>
    <w:rsid w:val="00C306C4"/>
    <w:rsid w:val="00C364E5"/>
    <w:rsid w:val="00C36E3C"/>
    <w:rsid w:val="00C47461"/>
    <w:rsid w:val="00C5452C"/>
    <w:rsid w:val="00C60583"/>
    <w:rsid w:val="00C61FE0"/>
    <w:rsid w:val="00C657CE"/>
    <w:rsid w:val="00C66845"/>
    <w:rsid w:val="00C7044A"/>
    <w:rsid w:val="00C74B70"/>
    <w:rsid w:val="00C74D33"/>
    <w:rsid w:val="00C75DEC"/>
    <w:rsid w:val="00C9040A"/>
    <w:rsid w:val="00C90C0B"/>
    <w:rsid w:val="00C92C79"/>
    <w:rsid w:val="00CA361E"/>
    <w:rsid w:val="00CB1561"/>
    <w:rsid w:val="00CD31AA"/>
    <w:rsid w:val="00CD3A78"/>
    <w:rsid w:val="00CD516B"/>
    <w:rsid w:val="00D01E88"/>
    <w:rsid w:val="00D167F3"/>
    <w:rsid w:val="00D454C1"/>
    <w:rsid w:val="00D46F8D"/>
    <w:rsid w:val="00D477CB"/>
    <w:rsid w:val="00D537D5"/>
    <w:rsid w:val="00D74189"/>
    <w:rsid w:val="00D845A7"/>
    <w:rsid w:val="00D86AF5"/>
    <w:rsid w:val="00D90174"/>
    <w:rsid w:val="00D93302"/>
    <w:rsid w:val="00D94073"/>
    <w:rsid w:val="00D96B7C"/>
    <w:rsid w:val="00DA0032"/>
    <w:rsid w:val="00DA1718"/>
    <w:rsid w:val="00DA20F6"/>
    <w:rsid w:val="00DB2427"/>
    <w:rsid w:val="00DC6DB4"/>
    <w:rsid w:val="00DE1F2B"/>
    <w:rsid w:val="00DF029F"/>
    <w:rsid w:val="00DF0612"/>
    <w:rsid w:val="00DF10B7"/>
    <w:rsid w:val="00DF3431"/>
    <w:rsid w:val="00E02C16"/>
    <w:rsid w:val="00E12232"/>
    <w:rsid w:val="00E26912"/>
    <w:rsid w:val="00E2695C"/>
    <w:rsid w:val="00E400C9"/>
    <w:rsid w:val="00E4157A"/>
    <w:rsid w:val="00E46079"/>
    <w:rsid w:val="00E46FF2"/>
    <w:rsid w:val="00E6656B"/>
    <w:rsid w:val="00E67CF2"/>
    <w:rsid w:val="00E73080"/>
    <w:rsid w:val="00E77503"/>
    <w:rsid w:val="00EB5196"/>
    <w:rsid w:val="00EE4514"/>
    <w:rsid w:val="00EE7E43"/>
    <w:rsid w:val="00EF3BF5"/>
    <w:rsid w:val="00F00015"/>
    <w:rsid w:val="00F22E5D"/>
    <w:rsid w:val="00F25E99"/>
    <w:rsid w:val="00F33C85"/>
    <w:rsid w:val="00F37F10"/>
    <w:rsid w:val="00F53033"/>
    <w:rsid w:val="00F6720C"/>
    <w:rsid w:val="00F712A6"/>
    <w:rsid w:val="00F719E0"/>
    <w:rsid w:val="00F731BB"/>
    <w:rsid w:val="00F808A4"/>
    <w:rsid w:val="00F938F8"/>
    <w:rsid w:val="00FB3191"/>
    <w:rsid w:val="00FB7F9F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937F9-A18C-4FBC-ADDE-944E617C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11382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Мурзина Маргарита Иннокентьевна</cp:lastModifiedBy>
  <cp:revision>159</cp:revision>
  <cp:lastPrinted>2024-07-16T05:04:00Z</cp:lastPrinted>
  <dcterms:created xsi:type="dcterms:W3CDTF">2022-03-30T02:15:00Z</dcterms:created>
  <dcterms:modified xsi:type="dcterms:W3CDTF">2024-09-19T06:27:00Z</dcterms:modified>
</cp:coreProperties>
</file>